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5137186A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</w:t>
      </w:r>
      <w:r w:rsidR="00405A94">
        <w:rPr>
          <w:lang w:val="de-DE"/>
        </w:rPr>
        <w:t>9</w:t>
      </w:r>
      <w:r w:rsidR="008054A3">
        <w:rPr>
          <w:lang w:val="de-DE"/>
        </w:rPr>
        <w:t>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7B7B8E" w:rsidRPr="007B7B8E">
        <w:rPr>
          <w:sz w:val="32"/>
          <w:szCs w:val="32"/>
          <w:lang w:val="de-DE"/>
        </w:rPr>
        <w:t>R2-2210637</w:t>
      </w:r>
    </w:p>
    <w:p w14:paraId="0B9CA2F7" w14:textId="49745366" w:rsidR="00E90E49" w:rsidRPr="00CE0424" w:rsidRDefault="00C40FA7" w:rsidP="009F5A69">
      <w:pPr>
        <w:pStyle w:val="3GPPHeader"/>
      </w:pPr>
      <w:r w:rsidRPr="00C40FA7">
        <w:rPr>
          <w:rFonts w:cs="Arial"/>
          <w:szCs w:val="24"/>
        </w:rPr>
        <w:t xml:space="preserve">Electronic meeting, </w:t>
      </w:r>
      <w:r w:rsidR="0070665F">
        <w:rPr>
          <w:rFonts w:cs="Arial"/>
          <w:szCs w:val="24"/>
        </w:rPr>
        <w:t>October</w:t>
      </w:r>
      <w:r w:rsidRPr="00C40FA7">
        <w:rPr>
          <w:rFonts w:cs="Arial"/>
          <w:szCs w:val="24"/>
        </w:rPr>
        <w:t xml:space="preserve"> </w:t>
      </w:r>
      <w:r w:rsidR="008807DC">
        <w:rPr>
          <w:rFonts w:cs="Arial"/>
          <w:szCs w:val="24"/>
        </w:rPr>
        <w:t>1</w:t>
      </w:r>
      <w:r w:rsidR="00F03379">
        <w:rPr>
          <w:rFonts w:cs="Arial"/>
          <w:szCs w:val="24"/>
        </w:rPr>
        <w:t>0</w:t>
      </w:r>
      <w:r w:rsidRPr="00C40FA7">
        <w:rPr>
          <w:rFonts w:cs="Arial"/>
          <w:szCs w:val="24"/>
        </w:rPr>
        <w:t xml:space="preserve"> –</w:t>
      </w:r>
      <w:r w:rsidR="00F03379">
        <w:rPr>
          <w:rFonts w:cs="Arial"/>
          <w:szCs w:val="24"/>
        </w:rPr>
        <w:t>19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</w:p>
    <w:p w14:paraId="7CE64FCB" w14:textId="0AC6E29D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176B1B">
        <w:rPr>
          <w:sz w:val="22"/>
          <w:szCs w:val="22"/>
          <w:lang w:val="en-US"/>
        </w:rPr>
        <w:t>8.18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37726DD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1EA4" w:rsidRPr="00F01EA4">
        <w:rPr>
          <w:sz w:val="22"/>
          <w:szCs w:val="22"/>
        </w:rPr>
        <w:t>On RAN2 aspects for UL TX switching Rel-18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600D5D3" w14:textId="577AA9B8" w:rsidR="002369B5" w:rsidRPr="0062383A" w:rsidRDefault="002369B5" w:rsidP="0062383A">
      <w:pPr>
        <w:pStyle w:val="BodyText"/>
      </w:pPr>
      <w:bookmarkStart w:id="0" w:name="_Ref178064866"/>
      <w:r w:rsidRPr="0062383A">
        <w:t>In RAN2#119-e, the following was agreed:</w:t>
      </w:r>
    </w:p>
    <w:p w14:paraId="726C0902" w14:textId="77777777" w:rsidR="002369B5" w:rsidRDefault="002369B5" w:rsidP="002369B5">
      <w:pPr>
        <w:rPr>
          <w:rFonts w:eastAsiaTheme="minorEastAsia"/>
          <w:b/>
          <w:bCs/>
        </w:rPr>
      </w:pPr>
      <w:r w:rsidRPr="00F850E6">
        <w:rPr>
          <w:rFonts w:eastAsiaTheme="minorEastAsia"/>
          <w:b/>
          <w:bCs/>
        </w:rPr>
        <w:t>RAN</w:t>
      </w:r>
      <w:r>
        <w:rPr>
          <w:rFonts w:eastAsiaTheme="minorEastAsia"/>
          <w:b/>
          <w:bCs/>
        </w:rPr>
        <w:t>2</w:t>
      </w:r>
      <w:r w:rsidRPr="00F850E6">
        <w:rPr>
          <w:rFonts w:eastAsiaTheme="minorEastAsia"/>
          <w:b/>
          <w:bCs/>
        </w:rPr>
        <w:t>#11</w:t>
      </w:r>
      <w:r>
        <w:rPr>
          <w:rFonts w:eastAsiaTheme="minorEastAsia"/>
          <w:b/>
          <w:bCs/>
        </w:rPr>
        <w:t>9-e</w:t>
      </w:r>
    </w:p>
    <w:p w14:paraId="35A28DBC" w14:textId="77777777" w:rsidR="002369B5" w:rsidRPr="00737C12" w:rsidRDefault="002369B5" w:rsidP="002369B5">
      <w:pPr>
        <w:pStyle w:val="Agreement"/>
        <w:tabs>
          <w:tab w:val="clear" w:pos="360"/>
          <w:tab w:val="num" w:pos="1619"/>
        </w:tabs>
        <w:ind w:left="1619" w:hanging="360"/>
        <w:rPr>
          <w:lang w:eastAsia="ja-JP"/>
        </w:rPr>
      </w:pPr>
      <w:r w:rsidRPr="00230A81">
        <w:rPr>
          <w:lang w:eastAsia="ja-JP"/>
        </w:rPr>
        <w:t xml:space="preserve">As a baseline, RAN2 reuse Rel-16/17 UL Tx switching band combination list (i.e. </w:t>
      </w:r>
      <w:r w:rsidRPr="001D045A">
        <w:rPr>
          <w:i/>
          <w:iCs/>
          <w:lang w:eastAsia="ja-JP"/>
        </w:rPr>
        <w:t>BandCombinationList-UplinkTxSwitch-r16</w:t>
      </w:r>
      <w:r w:rsidRPr="00230A81">
        <w:rPr>
          <w:lang w:eastAsia="ja-JP"/>
        </w:rPr>
        <w:t>) for Rel-18 UL Tx switching capability reporting.</w:t>
      </w:r>
    </w:p>
    <w:p w14:paraId="38243073" w14:textId="77777777" w:rsidR="002369B5" w:rsidRPr="00737C12" w:rsidRDefault="002369B5" w:rsidP="002369B5">
      <w:pPr>
        <w:pStyle w:val="Agreement"/>
        <w:tabs>
          <w:tab w:val="clear" w:pos="360"/>
          <w:tab w:val="num" w:pos="1619"/>
        </w:tabs>
        <w:ind w:left="1619" w:hanging="360"/>
        <w:rPr>
          <w:lang w:eastAsia="ja-JP"/>
        </w:rPr>
      </w:pPr>
      <w:r w:rsidRPr="001D045A">
        <w:rPr>
          <w:lang w:eastAsia="ja-JP"/>
        </w:rPr>
        <w:t xml:space="preserve">As a baseline, uplink bands for Rel-18 UL Tx switching are configured as in legacy way, i.e. by </w:t>
      </w:r>
      <w:r w:rsidRPr="001D045A">
        <w:rPr>
          <w:i/>
          <w:iCs/>
          <w:lang w:eastAsia="ja-JP"/>
        </w:rPr>
        <w:t>UplinkConfig</w:t>
      </w:r>
      <w:r w:rsidRPr="001D045A">
        <w:rPr>
          <w:lang w:eastAsia="ja-JP"/>
        </w:rPr>
        <w:t>.</w:t>
      </w:r>
    </w:p>
    <w:p w14:paraId="5F638CBC" w14:textId="77777777" w:rsidR="002369B5" w:rsidRPr="001D045A" w:rsidRDefault="002369B5" w:rsidP="002369B5">
      <w:pPr>
        <w:pStyle w:val="Agreement"/>
        <w:tabs>
          <w:tab w:val="clear" w:pos="360"/>
          <w:tab w:val="num" w:pos="1619"/>
        </w:tabs>
        <w:ind w:left="1619" w:hanging="360"/>
        <w:rPr>
          <w:lang w:eastAsia="ja-JP"/>
        </w:rPr>
      </w:pPr>
      <w:r w:rsidRPr="001D045A">
        <w:rPr>
          <w:lang w:eastAsia="ja-JP"/>
        </w:rPr>
        <w:t xml:space="preserve">RAN2 waits for RAN1/4 input and then addresses </w:t>
      </w:r>
      <w:r>
        <w:rPr>
          <w:lang w:eastAsia="ja-JP"/>
        </w:rPr>
        <w:t>the</w:t>
      </w:r>
      <w:r w:rsidRPr="001D045A">
        <w:rPr>
          <w:lang w:eastAsia="ja-JP"/>
        </w:rPr>
        <w:t xml:space="preserve"> potential issues according to RAN1/4 indication</w:t>
      </w:r>
      <w:r>
        <w:rPr>
          <w:lang w:eastAsia="ja-JP"/>
        </w:rPr>
        <w:t>, e.g.</w:t>
      </w:r>
      <w:r w:rsidRPr="001D045A">
        <w:rPr>
          <w:lang w:eastAsia="ja-JP"/>
        </w:rPr>
        <w:t>:</w:t>
      </w:r>
    </w:p>
    <w:p w14:paraId="091AE3CA" w14:textId="77777777" w:rsidR="002369B5" w:rsidRPr="001D045A" w:rsidRDefault="002369B5" w:rsidP="002369B5">
      <w:pPr>
        <w:pStyle w:val="Agreement"/>
        <w:numPr>
          <w:ilvl w:val="0"/>
          <w:numId w:val="0"/>
        </w:numPr>
        <w:ind w:left="1619"/>
        <w:rPr>
          <w:lang w:eastAsia="ja-JP"/>
        </w:rPr>
      </w:pPr>
      <w:r w:rsidRPr="001D045A">
        <w:rPr>
          <w:lang w:eastAsia="ja-JP"/>
        </w:rPr>
        <w:t>– whether the switching period is configured per band pair or per band combination on UE capability reporting.</w:t>
      </w:r>
    </w:p>
    <w:p w14:paraId="67A1678A" w14:textId="77777777" w:rsidR="002369B5" w:rsidRPr="001D045A" w:rsidRDefault="002369B5" w:rsidP="002369B5">
      <w:pPr>
        <w:pStyle w:val="Agreement"/>
        <w:numPr>
          <w:ilvl w:val="0"/>
          <w:numId w:val="0"/>
        </w:numPr>
        <w:ind w:left="1619"/>
        <w:rPr>
          <w:lang w:eastAsia="ja-JP"/>
        </w:rPr>
      </w:pPr>
      <w:r w:rsidRPr="001D045A">
        <w:rPr>
          <w:lang w:eastAsia="ja-JP"/>
        </w:rPr>
        <w:t>– whether the switching option (i.e. switchedUL or dualUL) is configured per band pair or per band combination on UE capability reporting.</w:t>
      </w:r>
    </w:p>
    <w:p w14:paraId="360E0AF3" w14:textId="77777777" w:rsidR="002369B5" w:rsidRPr="001D045A" w:rsidRDefault="002369B5" w:rsidP="002369B5">
      <w:pPr>
        <w:pStyle w:val="Agreement"/>
        <w:numPr>
          <w:ilvl w:val="0"/>
          <w:numId w:val="0"/>
        </w:numPr>
        <w:ind w:left="1619"/>
        <w:rPr>
          <w:lang w:eastAsia="ja-JP"/>
        </w:rPr>
      </w:pPr>
      <w:r w:rsidRPr="001D045A">
        <w:rPr>
          <w:lang w:eastAsia="ja-JP"/>
        </w:rPr>
        <w:t>– how RRC configures a period location for each band pair within three or four bands on RRC configuration.</w:t>
      </w:r>
    </w:p>
    <w:p w14:paraId="53C6E2BE" w14:textId="77777777" w:rsidR="002369B5" w:rsidRPr="001D045A" w:rsidRDefault="002369B5" w:rsidP="002369B5">
      <w:pPr>
        <w:pStyle w:val="Agreement"/>
        <w:numPr>
          <w:ilvl w:val="0"/>
          <w:numId w:val="0"/>
        </w:numPr>
        <w:ind w:left="1619"/>
        <w:rPr>
          <w:lang w:eastAsia="ja-JP"/>
        </w:rPr>
      </w:pPr>
      <w:r w:rsidRPr="001D045A">
        <w:rPr>
          <w:lang w:eastAsia="ja-JP"/>
        </w:rPr>
        <w:t>– how to configure a state of Tx chains after the UL Tx switching is not unique in Rel-18 framework on RRC configuration.</w:t>
      </w:r>
    </w:p>
    <w:p w14:paraId="4B2C0296" w14:textId="77777777" w:rsidR="002369B5" w:rsidRDefault="002369B5" w:rsidP="006F7292">
      <w:pPr>
        <w:rPr>
          <w:rFonts w:eastAsiaTheme="minorEastAsia"/>
        </w:rPr>
      </w:pPr>
    </w:p>
    <w:p w14:paraId="68994316" w14:textId="4762C7D2" w:rsidR="002369B5" w:rsidRPr="0062383A" w:rsidRDefault="00841BFC" w:rsidP="0062383A">
      <w:pPr>
        <w:pStyle w:val="BodyText"/>
      </w:pPr>
      <w:r w:rsidRPr="0062383A">
        <w:t xml:space="preserve">This contribution discusses </w:t>
      </w:r>
      <w:r w:rsidR="005B06CF" w:rsidRPr="0062383A">
        <w:t xml:space="preserve">principles to be applicable for </w:t>
      </w:r>
      <w:r w:rsidR="009C028E" w:rsidRPr="0062383A">
        <w:t>RAN2 on this feature</w:t>
      </w:r>
      <w:r w:rsidR="00DF47A5" w:rsidRPr="0062383A">
        <w:t xml:space="preserve"> and RAN1 progress</w:t>
      </w:r>
      <w:r w:rsidR="009C028E" w:rsidRPr="0062383A"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59E3BC05" w14:textId="35AAB700" w:rsidR="00BD0750" w:rsidRDefault="00BD0750" w:rsidP="00765C76">
      <w:pPr>
        <w:pStyle w:val="BodyText"/>
      </w:pPr>
      <w:r>
        <w:t xml:space="preserve">For Rel-17 UL Tx switching, it was concluded that </w:t>
      </w:r>
      <w:r w:rsidR="001937D2" w:rsidRPr="001937D2">
        <w:t>the UE must support at least one common switching option (Option 1:Switched UL or Option 2:Dual UL) between 1Tx-2Tx switching and 2Tx-2Tx switching</w:t>
      </w:r>
      <w:r w:rsidR="001937D2">
        <w:t>:</w:t>
      </w:r>
    </w:p>
    <w:p w14:paraId="48D48B80" w14:textId="77777777" w:rsidR="00F3235B" w:rsidRPr="00D22DD4" w:rsidRDefault="00F3235B" w:rsidP="00F3235B">
      <w:pPr>
        <w:keepNext/>
        <w:rPr>
          <w:rFonts w:ascii="Arial" w:hAnsi="Arial" w:cs="Arial"/>
          <w:b/>
          <w:bCs/>
          <w:i/>
          <w:iCs/>
          <w:sz w:val="18"/>
          <w:szCs w:val="18"/>
          <w:u w:val="single"/>
          <w:lang w:val="en-US"/>
        </w:rPr>
      </w:pP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uplinkTxSwitching-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  <w:lang w:eastAsia="zh-CN"/>
        </w:rPr>
        <w:t>Option</w:t>
      </w:r>
      <w:r w:rsidRPr="00D22DD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Support2T2T-r17</w:t>
      </w:r>
    </w:p>
    <w:p w14:paraId="1CF88013" w14:textId="77777777" w:rsidR="00F3235B" w:rsidRPr="00D22DD4" w:rsidRDefault="00F3235B" w:rsidP="00F3235B">
      <w:pPr>
        <w:rPr>
          <w:rFonts w:ascii="Yu Gothic" w:eastAsia="Yu Gothic" w:hAnsi="Yu Gothic" w:cs="MS PGothic"/>
          <w:sz w:val="22"/>
          <w:szCs w:val="22"/>
          <w:u w:val="single"/>
        </w:rPr>
      </w:pP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Indicates which option is supported for dynamic UL </w:t>
      </w:r>
      <w:r w:rsidRPr="00D22DD4">
        <w:rPr>
          <w:rFonts w:ascii="Arial" w:hAnsi="Arial" w:cs="Arial"/>
          <w:sz w:val="18"/>
          <w:szCs w:val="18"/>
          <w:u w:val="single"/>
          <w:lang w:eastAsia="fr-FR"/>
        </w:rPr>
        <w:t>2</w:t>
      </w:r>
      <w:r w:rsidRPr="00D22DD4">
        <w:rPr>
          <w:rFonts w:ascii="Arial" w:hAnsi="Arial" w:cs="Arial"/>
          <w:sz w:val="18"/>
          <w:szCs w:val="18"/>
          <w:u w:val="single"/>
        </w:rPr>
        <w:t>Tx</w:t>
      </w:r>
      <w:r w:rsidRPr="00D22DD4">
        <w:rPr>
          <w:rFonts w:ascii="Arial" w:hAnsi="Arial" w:cs="Arial"/>
          <w:sz w:val="18"/>
          <w:szCs w:val="18"/>
          <w:u w:val="single"/>
          <w:lang w:val="fr-FR" w:eastAsia="fr-FR"/>
        </w:rPr>
        <w:t>-2Tx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switching for inter-band UL CA.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 xml:space="preserve">switchedUL 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represents option 1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dualUL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option 2 as specified in TS 38.214 [12], </w:t>
      </w:r>
      <w:r w:rsidRPr="00D22DD4">
        <w:rPr>
          <w:rFonts w:ascii="Arial" w:hAnsi="Arial" w:cs="Arial"/>
          <w:i/>
          <w:iCs/>
          <w:sz w:val="18"/>
          <w:szCs w:val="18"/>
          <w:u w:val="single"/>
          <w:lang w:eastAsia="en-GB"/>
        </w:rPr>
        <w:t>both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represents both option 1 and option2 as specified in TS 38.214 [12]. The field is mandatory for inter-band UL CA cases where UE supports dynamic UL 2Tx-2Tx switching. </w:t>
      </w:r>
      <w:r w:rsidRPr="00395DAD">
        <w:rPr>
          <w:rFonts w:ascii="Arial" w:hAnsi="Arial" w:cs="Arial"/>
          <w:sz w:val="18"/>
          <w:szCs w:val="18"/>
          <w:highlight w:val="yellow"/>
          <w:u w:val="single"/>
          <w:lang w:eastAsia="en-GB"/>
        </w:rPr>
        <w:t xml:space="preserve">The UE indicating support of this feature shall indicate support of at least one common switching option between </w:t>
      </w:r>
      <w:r w:rsidRPr="00395DAD">
        <w:rPr>
          <w:rFonts w:ascii="Arial" w:hAnsi="Arial" w:cs="Arial"/>
          <w:i/>
          <w:iCs/>
          <w:sz w:val="18"/>
          <w:szCs w:val="18"/>
          <w:highlight w:val="yellow"/>
          <w:u w:val="single"/>
          <w:lang w:eastAsia="en-GB"/>
        </w:rPr>
        <w:t>uplinkTxSwitching-OptionSupport2T2T-r17</w:t>
      </w:r>
      <w:r w:rsidRPr="00395DAD">
        <w:rPr>
          <w:rFonts w:ascii="Arial" w:hAnsi="Arial" w:cs="Arial"/>
          <w:sz w:val="18"/>
          <w:szCs w:val="18"/>
          <w:highlight w:val="yellow"/>
          <w:u w:val="single"/>
          <w:lang w:eastAsia="en-GB"/>
        </w:rPr>
        <w:t xml:space="preserve"> and </w:t>
      </w:r>
      <w:r w:rsidRPr="00395DAD">
        <w:rPr>
          <w:rFonts w:ascii="Arial" w:hAnsi="Arial" w:cs="Arial"/>
          <w:i/>
          <w:iCs/>
          <w:sz w:val="18"/>
          <w:szCs w:val="18"/>
          <w:highlight w:val="yellow"/>
          <w:u w:val="single"/>
          <w:lang w:eastAsia="en-GB"/>
        </w:rPr>
        <w:t>uplinkTxSwitching-OptionSupport-r16</w:t>
      </w:r>
      <w:r w:rsidRPr="00395DAD">
        <w:rPr>
          <w:rFonts w:ascii="Arial" w:hAnsi="Arial" w:cs="Arial"/>
          <w:sz w:val="18"/>
          <w:szCs w:val="18"/>
          <w:highlight w:val="yellow"/>
          <w:u w:val="single"/>
          <w:lang w:eastAsia="en-GB"/>
        </w:rPr>
        <w:t>.</w:t>
      </w:r>
      <w:r w:rsidRPr="00D22DD4">
        <w:rPr>
          <w:rFonts w:ascii="Arial" w:hAnsi="Arial" w:cs="Arial"/>
          <w:sz w:val="18"/>
          <w:szCs w:val="18"/>
          <w:u w:val="single"/>
          <w:lang w:eastAsia="en-GB"/>
        </w:rPr>
        <w:t xml:space="preserve"> </w:t>
      </w:r>
    </w:p>
    <w:p w14:paraId="31DE4081" w14:textId="6B6ADA29" w:rsidR="00B32D9B" w:rsidRDefault="00E5621A" w:rsidP="00765C76">
      <w:pPr>
        <w:pStyle w:val="BodyText"/>
      </w:pPr>
      <w:r>
        <w:t xml:space="preserve">As discussed </w:t>
      </w:r>
      <w:r w:rsidR="001949DB">
        <w:t xml:space="preserve">during RAN2#119-e in </w:t>
      </w:r>
      <w:r w:rsidR="00F234E1">
        <w:fldChar w:fldCharType="begin"/>
      </w:r>
      <w:r w:rsidR="00F234E1">
        <w:instrText xml:space="preserve"> REF _Ref115252398 \r \h </w:instrText>
      </w:r>
      <w:r w:rsidR="00F234E1">
        <w:fldChar w:fldCharType="separate"/>
      </w:r>
      <w:r w:rsidR="00F234E1">
        <w:t>[1]</w:t>
      </w:r>
      <w:r w:rsidR="00F234E1">
        <w:fldChar w:fldCharType="end"/>
      </w:r>
      <w:r w:rsidR="00257EC8">
        <w:t>, a possible way forward would be to not specify any dependency between Rel-17 and Rel-16 UL Tx switching options. But g</w:t>
      </w:r>
      <w:r w:rsidR="00A41554">
        <w:t xml:space="preserve">iven the above conclusion, </w:t>
      </w:r>
      <w:r w:rsidR="004373A2">
        <w:t>it would be good to follow the same principle for Rel-18 UL Tx Switching</w:t>
      </w:r>
      <w:r w:rsidR="00FC4779">
        <w:t xml:space="preserve"> for the sake of consistency</w:t>
      </w:r>
      <w:r w:rsidR="00B00F89">
        <w:t xml:space="preserve"> and avoid repeating the discussion already held for the conclusion in Rel-17</w:t>
      </w:r>
      <w:r w:rsidR="00FC4779">
        <w:t>.</w:t>
      </w:r>
      <w:r w:rsidR="002E49AD">
        <w:t xml:space="preserve"> This may be further discussed depending on RAN1 outcome, but</w:t>
      </w:r>
      <w:r w:rsidR="00932446">
        <w:t xml:space="preserve"> it would be good to consider it as a baseline</w:t>
      </w:r>
      <w:r w:rsidR="00FC4779">
        <w:t>.</w:t>
      </w:r>
      <w:r w:rsidR="00AD72DD">
        <w:t xml:space="preserve"> </w:t>
      </w:r>
      <w:r w:rsidR="00C10EF3">
        <w:t>A</w:t>
      </w:r>
      <w:r w:rsidR="00AD72DD">
        <w:t>t this early stage</w:t>
      </w:r>
      <w:r w:rsidR="00D10C75">
        <w:t>,</w:t>
      </w:r>
      <w:r w:rsidR="00AD72DD">
        <w:t xml:space="preserve"> it </w:t>
      </w:r>
      <w:r w:rsidR="001B0AAB">
        <w:t>could not be captured in the same level of detail as for Rel-17, i.e. it is not clear</w:t>
      </w:r>
      <w:r w:rsidR="00510241">
        <w:t xml:space="preserve"> how the case of</w:t>
      </w:r>
      <w:r w:rsidR="00510241" w:rsidRPr="00510241">
        <w:t xml:space="preserve"> 3 and 4 bands </w:t>
      </w:r>
      <w:r w:rsidR="00510241">
        <w:t xml:space="preserve">would be supported. But </w:t>
      </w:r>
      <w:r w:rsidR="000D1C27">
        <w:t xml:space="preserve">we should expect </w:t>
      </w:r>
      <w:r w:rsidR="00447874">
        <w:t xml:space="preserve">at least </w:t>
      </w:r>
      <w:r w:rsidR="000D1C27">
        <w:t xml:space="preserve">some dependency between </w:t>
      </w:r>
      <w:r w:rsidR="00B71484">
        <w:t>the Rel-18 support of the feature and the Rel-17 support.</w:t>
      </w:r>
      <w:r w:rsidR="001B0AAB">
        <w:t xml:space="preserve"> </w:t>
      </w:r>
    </w:p>
    <w:p w14:paraId="713B3C7C" w14:textId="3410F46F" w:rsidR="001937D2" w:rsidRDefault="000F43DE" w:rsidP="00D85792">
      <w:pPr>
        <w:pStyle w:val="Proposal"/>
      </w:pPr>
      <w:bookmarkStart w:id="1" w:name="_Toc115278317"/>
      <w:r>
        <w:lastRenderedPageBreak/>
        <w:t>As a baseline</w:t>
      </w:r>
      <w:r w:rsidRPr="000F43DE">
        <w:t xml:space="preserve">, </w:t>
      </w:r>
      <w:r w:rsidR="00492EE6">
        <w:t>RAN2 understands</w:t>
      </w:r>
      <w:r w:rsidRPr="000F43DE">
        <w:t xml:space="preserve"> th</w:t>
      </w:r>
      <w:r w:rsidR="00596F38">
        <w:t>at a UE supporting Rel-18</w:t>
      </w:r>
      <w:r w:rsidR="00D16BAB">
        <w:t xml:space="preserve"> UL Tx switching would also </w:t>
      </w:r>
      <w:r w:rsidRPr="000F43DE">
        <w:t>support</w:t>
      </w:r>
      <w:r w:rsidR="00D57BE5">
        <w:t xml:space="preserve"> </w:t>
      </w:r>
      <w:r w:rsidR="004D0EF2">
        <w:t xml:space="preserve">at least </w:t>
      </w:r>
      <w:r w:rsidRPr="000F43DE">
        <w:t xml:space="preserve">one switching option (Option 1:Switched UL or Option 2:Dual UL) </w:t>
      </w:r>
      <w:r w:rsidR="00557C1F">
        <w:t xml:space="preserve">as defined for </w:t>
      </w:r>
      <w:r w:rsidR="00D4141D">
        <w:t>the Rel-17 capability of UL Tx switching.</w:t>
      </w:r>
      <w:bookmarkEnd w:id="1"/>
      <w:r w:rsidR="00D4141D">
        <w:t xml:space="preserve"> </w:t>
      </w:r>
    </w:p>
    <w:p w14:paraId="173066D2" w14:textId="7079DB27" w:rsidR="00FF1291" w:rsidRDefault="00B4450E" w:rsidP="009C67C0">
      <w:pPr>
        <w:pStyle w:val="BodyText"/>
      </w:pPr>
      <w:r>
        <w:t>On the RAN1 progress,</w:t>
      </w:r>
      <w:r w:rsidR="008B1723">
        <w:t xml:space="preserve"> </w:t>
      </w:r>
      <w:r w:rsidR="00F9515E">
        <w:t>the following was concluded in RAN1#110:</w:t>
      </w:r>
    </w:p>
    <w:p w14:paraId="631054EE" w14:textId="77777777" w:rsidR="00A6632D" w:rsidRPr="00F850E6" w:rsidRDefault="00A6632D" w:rsidP="00A6632D">
      <w:pPr>
        <w:rPr>
          <w:b/>
          <w:bCs/>
          <w:highlight w:val="darkYellow"/>
          <w:lang w:eastAsia="x-none"/>
        </w:rPr>
      </w:pPr>
      <w:r w:rsidRPr="00F850E6">
        <w:rPr>
          <w:b/>
          <w:bCs/>
          <w:highlight w:val="darkYellow"/>
          <w:lang w:eastAsia="x-none"/>
        </w:rPr>
        <w:t>Working Assumption</w:t>
      </w:r>
    </w:p>
    <w:p w14:paraId="0497217B" w14:textId="77777777" w:rsidR="00A6632D" w:rsidRPr="00F850E6" w:rsidRDefault="00A6632D" w:rsidP="00A6632D">
      <w:pPr>
        <w:pStyle w:val="ListParagraph"/>
        <w:numPr>
          <w:ilvl w:val="0"/>
          <w:numId w:val="19"/>
        </w:numPr>
        <w:overflowPunct/>
        <w:autoSpaceDE/>
        <w:autoSpaceDN/>
        <w:adjustRightInd/>
        <w:ind w:left="720" w:hanging="360"/>
        <w:jc w:val="both"/>
        <w:textAlignment w:val="auto"/>
        <w:rPr>
          <w:rFonts w:ascii="Times New Roman" w:eastAsia="MS Mincho" w:hAnsi="Times New Roman"/>
          <w:sz w:val="20"/>
          <w:szCs w:val="20"/>
          <w:lang w:eastAsia="x-none"/>
        </w:rPr>
      </w:pPr>
      <w:r w:rsidRPr="00F850E6">
        <w:rPr>
          <w:rFonts w:ascii="Times New Roman" w:eastAsia="MS Mincho" w:hAnsi="Times New Roman"/>
          <w:sz w:val="20"/>
          <w:szCs w:val="20"/>
        </w:rPr>
        <w:t>If Rel-18 UL Tx switching is supported, following switching mechanism is considered as baseline for the Rel-18 UL Tx switching across 3 or 4 bands</w:t>
      </w:r>
    </w:p>
    <w:p w14:paraId="34EC1831" w14:textId="77777777" w:rsidR="00A6632D" w:rsidRPr="005859A9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MS Mincho" w:hAnsi="Times New Roman"/>
          <w:sz w:val="20"/>
          <w:szCs w:val="20"/>
          <w:highlight w:val="yellow"/>
        </w:rPr>
      </w:pPr>
      <w:r w:rsidRPr="005859A9">
        <w:rPr>
          <w:rFonts w:ascii="Times New Roman" w:hAnsi="Times New Roman"/>
          <w:bCs/>
          <w:sz w:val="20"/>
          <w:szCs w:val="20"/>
          <w:highlight w:val="yellow"/>
        </w:rPr>
        <w:t>Alt.1: Dynamic Tx carrier switching can be across all the supported switching cases by the UE and based on the UL scheduling, i.e., via dynamic grant and/or RRC configuration for UL transmission</w:t>
      </w:r>
    </w:p>
    <w:p w14:paraId="6068E598" w14:textId="77777777" w:rsidR="00A6632D" w:rsidRPr="00F850E6" w:rsidRDefault="00A6632D" w:rsidP="00A6632D">
      <w:pPr>
        <w:pStyle w:val="ListParagraph"/>
        <w:numPr>
          <w:ilvl w:val="0"/>
          <w:numId w:val="19"/>
        </w:numPr>
        <w:overflowPunct/>
        <w:autoSpaceDE/>
        <w:autoSpaceDN/>
        <w:adjustRightInd/>
        <w:ind w:left="720" w:hanging="360"/>
        <w:jc w:val="both"/>
        <w:textAlignment w:val="auto"/>
        <w:rPr>
          <w:rFonts w:ascii="Times New Roman" w:eastAsia="MS Mincho" w:hAnsi="Times New Roman"/>
          <w:sz w:val="20"/>
          <w:szCs w:val="20"/>
        </w:rPr>
      </w:pPr>
      <w:r w:rsidRPr="00F850E6">
        <w:rPr>
          <w:rFonts w:ascii="Times New Roman" w:eastAsia="MS Mincho" w:hAnsi="Times New Roman"/>
          <w:sz w:val="20"/>
          <w:szCs w:val="20"/>
        </w:rPr>
        <w:t>RAN1 will support one or more of following complexity reduction options, considering at least the potential additional preparation time, additional interruption time, and RF complexity for certain switching cases/patterns, if Rel-18 UL Tx switching is supported based on Alt.1, and companies are encouraged to investigate options with striving for down-selection at RAN1#110bis-e.</w:t>
      </w:r>
    </w:p>
    <w:p w14:paraId="333CD13C" w14:textId="77777777" w:rsidR="00A6632D" w:rsidRPr="00F850E6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Option 1: UE is allowed to support only some of concurrent UL cases (band pairs)</w:t>
      </w:r>
    </w:p>
    <w:p w14:paraId="3F33BC8B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at least one band pair should be supported as in Rel-17</w:t>
      </w:r>
    </w:p>
    <w:p w14:paraId="3ED500DB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for both 3 and 4 bands cases or only for 4 bands case</w:t>
      </w:r>
    </w:p>
    <w:p w14:paraId="0C8E9BAB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potential capability/RRC signaling</w:t>
      </w:r>
    </w:p>
    <w:p w14:paraId="55F694E2" w14:textId="77777777" w:rsidR="00A6632D" w:rsidRPr="00F850E6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Option 2: UE is allowed to support 2 ports transmission only on some of bands out of configured bands for UL Tx switching</w:t>
      </w:r>
    </w:p>
    <w:p w14:paraId="6FBA90EB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at least two bands should support up to 2 Tx as in Rel-17</w:t>
      </w:r>
    </w:p>
    <w:p w14:paraId="63567A02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for both 3 and 4 bands cases or only for 4 bands case</w:t>
      </w:r>
    </w:p>
    <w:p w14:paraId="07939BA3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for both switched UL and dual UL cases or only for dual UL case</w:t>
      </w:r>
    </w:p>
    <w:p w14:paraId="44C667D3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whether/how to reuse or extend existing capability/RRC signaling</w:t>
      </w:r>
    </w:p>
    <w:p w14:paraId="0A89D88E" w14:textId="77777777" w:rsidR="00A6632D" w:rsidRPr="00F850E6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Option 3: UE is allowed with more preparation procedure time (or interruption time) only for some specific switching cases/patterns</w:t>
      </w:r>
    </w:p>
    <w:p w14:paraId="65457D53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specific switching cases/patterns where more preparation procedure time (or interruption time) is necessary, e.g., switching patterns not existed in Rel-17</w:t>
      </w:r>
    </w:p>
    <w:p w14:paraId="35E5CCC5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how long preparation procedure time and/or interruption time is necessary, and whether RAN4 involvement is necessary</w:t>
      </w:r>
    </w:p>
    <w:p w14:paraId="4BED5F75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whether/how to report/indicate the specific switching cases/patterns and/or value(s) of preparation procedure time (or interruption time)</w:t>
      </w:r>
    </w:p>
    <w:p w14:paraId="6C73E6B0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what is the definition of preparation procedure time or interruption time, including whether interruption happens during the preparation procedure time and whether it includes switching period</w:t>
      </w:r>
    </w:p>
    <w:p w14:paraId="3565F050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whether/how long minimum interval between two succeeding UL Tx switching is necessary</w:t>
      </w:r>
    </w:p>
    <w:p w14:paraId="22C10900" w14:textId="77777777" w:rsidR="00A6632D" w:rsidRPr="00F850E6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Option 4: UE is allowed to support only some of band pairs for tx switching</w:t>
      </w:r>
    </w:p>
    <w:p w14:paraId="628319F8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at least one band pair should be supported as in Rel-17</w:t>
      </w:r>
    </w:p>
    <w:p w14:paraId="5A88182F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for both 3 and 4 bands cases or only for 4 bands case</w:t>
      </w:r>
    </w:p>
    <w:p w14:paraId="32149BCA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 xml:space="preserve">FFS: for switched UL and/or dual UL </w:t>
      </w:r>
    </w:p>
    <w:p w14:paraId="5BA9709E" w14:textId="77777777" w:rsidR="00A6632D" w:rsidRPr="00F850E6" w:rsidRDefault="00A6632D" w:rsidP="00A6632D">
      <w:pPr>
        <w:pStyle w:val="ListParagraph"/>
        <w:numPr>
          <w:ilvl w:val="2"/>
          <w:numId w:val="20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FFS: potential capability/RRC signaling</w:t>
      </w:r>
    </w:p>
    <w:p w14:paraId="0E524E3E" w14:textId="77777777" w:rsidR="00A6632D" w:rsidRPr="00F850E6" w:rsidRDefault="00A6632D" w:rsidP="00A6632D">
      <w:pPr>
        <w:pStyle w:val="ListParagraph"/>
        <w:numPr>
          <w:ilvl w:val="1"/>
          <w:numId w:val="1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Cs/>
          <w:sz w:val="20"/>
          <w:szCs w:val="20"/>
        </w:rPr>
      </w:pPr>
      <w:r w:rsidRPr="00F850E6">
        <w:rPr>
          <w:rFonts w:ascii="Times New Roman" w:hAnsi="Times New Roman"/>
          <w:bCs/>
          <w:sz w:val="20"/>
          <w:szCs w:val="20"/>
        </w:rPr>
        <w:t>Other options are not precluded</w:t>
      </w:r>
    </w:p>
    <w:p w14:paraId="580AC864" w14:textId="77777777" w:rsidR="00A6632D" w:rsidRDefault="00A6632D" w:rsidP="009C67C0">
      <w:pPr>
        <w:pStyle w:val="BodyText"/>
      </w:pPr>
    </w:p>
    <w:p w14:paraId="099EA831" w14:textId="01DF6256" w:rsidR="00FF1291" w:rsidRDefault="00CA10AB" w:rsidP="009C67C0">
      <w:pPr>
        <w:pStyle w:val="BodyText"/>
      </w:pPr>
      <w:r>
        <w:t xml:space="preserve">As described above, </w:t>
      </w:r>
      <w:r w:rsidR="004B553A">
        <w:t xml:space="preserve">it is still too early to progress on the signaling details for this feature, given that the </w:t>
      </w:r>
      <w:r w:rsidR="00D94424">
        <w:t xml:space="preserve">details </w:t>
      </w:r>
      <w:r w:rsidR="00A24D99">
        <w:t xml:space="preserve">for each option </w:t>
      </w:r>
      <w:r w:rsidR="00B154BD">
        <w:t>are still under discussion in RAN</w:t>
      </w:r>
      <w:r w:rsidR="005D6DED">
        <w:t>1</w:t>
      </w:r>
      <w:r w:rsidR="00B154BD">
        <w:t>.</w:t>
      </w:r>
      <w:r w:rsidR="00851F5F">
        <w:t xml:space="preserve"> In fact, </w:t>
      </w:r>
      <w:r w:rsidR="00407294">
        <w:t>given that agreements in RAN2#119-e point that “</w:t>
      </w:r>
      <w:r w:rsidR="00407294" w:rsidRPr="00407294">
        <w:t>RAN2 waits for RAN1/4 input and then addresses the potential issues according to RAN1/4 indication</w:t>
      </w:r>
      <w:r w:rsidR="00407294">
        <w:t xml:space="preserve">”, </w:t>
      </w:r>
      <w:r w:rsidR="00BB718A">
        <w:t xml:space="preserve">we understand </w:t>
      </w:r>
      <w:r w:rsidR="00D03B23">
        <w:t xml:space="preserve">such </w:t>
      </w:r>
      <w:r w:rsidR="00841B62">
        <w:t>RAN1/4 input would not</w:t>
      </w:r>
      <w:r w:rsidR="00D03B23">
        <w:t xml:space="preserve"> </w:t>
      </w:r>
      <w:r w:rsidR="005221C6">
        <w:t>mean t</w:t>
      </w:r>
      <w:r w:rsidR="00552239">
        <w:t xml:space="preserve">hat RAN2 </w:t>
      </w:r>
      <w:r w:rsidR="00B823D2">
        <w:t xml:space="preserve">would progress </w:t>
      </w:r>
      <w:r w:rsidR="00FE0998">
        <w:t>as</w:t>
      </w:r>
      <w:r w:rsidR="00B823D2">
        <w:t xml:space="preserve"> </w:t>
      </w:r>
      <w:r w:rsidR="0058618D">
        <w:t xml:space="preserve">RAN1/4 agreements </w:t>
      </w:r>
      <w:r w:rsidR="00FE0998">
        <w:t>are taken</w:t>
      </w:r>
      <w:r w:rsidR="00D71568">
        <w:t xml:space="preserve"> </w:t>
      </w:r>
      <w:r w:rsidR="0058618D">
        <w:t xml:space="preserve">but rather wait for an LS to RAN2. </w:t>
      </w:r>
      <w:r w:rsidR="007314D8">
        <w:t xml:space="preserve">There are currently many options </w:t>
      </w:r>
      <w:r w:rsidR="008E7299">
        <w:t xml:space="preserve">to be assessed in RAN1, </w:t>
      </w:r>
      <w:r w:rsidR="00B2164A">
        <w:t>which can make quite complex to discuss signaling options</w:t>
      </w:r>
      <w:r w:rsidR="00B8214C">
        <w:t xml:space="preserve"> on top</w:t>
      </w:r>
      <w:r w:rsidR="00B2164A">
        <w:t xml:space="preserve">. </w:t>
      </w:r>
      <w:r w:rsidR="003F773F">
        <w:t>Hence,</w:t>
      </w:r>
      <w:r w:rsidR="0025095E">
        <w:t xml:space="preserve"> </w:t>
      </w:r>
      <w:r w:rsidR="00BB718A">
        <w:t xml:space="preserve">it </w:t>
      </w:r>
      <w:r w:rsidR="00120A25">
        <w:t>would be</w:t>
      </w:r>
      <w:r w:rsidR="00BB718A">
        <w:t xml:space="preserve"> more fruitful to wait for an LS from RAN1/4,</w:t>
      </w:r>
      <w:r w:rsidR="009F667C">
        <w:t xml:space="preserve"> so that RAN2 acts upon mature conclusions from RAN1/4</w:t>
      </w:r>
      <w:r w:rsidR="005841D3">
        <w:t xml:space="preserve"> – this would </w:t>
      </w:r>
      <w:r w:rsidR="000B2AA4">
        <w:t xml:space="preserve">also </w:t>
      </w:r>
      <w:r w:rsidR="005841D3">
        <w:t xml:space="preserve">help to set the scope of RAN2 discussions and </w:t>
      </w:r>
      <w:r w:rsidR="00AE4B02">
        <w:t>find proper timing of when to trigger such discussions.</w:t>
      </w:r>
      <w:r w:rsidR="00C01CDB">
        <w:t xml:space="preserve"> </w:t>
      </w:r>
      <w:r w:rsidR="00A503FD">
        <w:t>Therefore, i</w:t>
      </w:r>
      <w:r w:rsidR="00C01CDB">
        <w:t xml:space="preserve">t would be good to </w:t>
      </w:r>
      <w:r w:rsidR="004E3341">
        <w:t xml:space="preserve">further clarify </w:t>
      </w:r>
      <w:r w:rsidR="003419AD">
        <w:t>this</w:t>
      </w:r>
      <w:r w:rsidR="002B1561">
        <w:t xml:space="preserve"> in RAN2.</w:t>
      </w:r>
    </w:p>
    <w:p w14:paraId="5EAAC6E9" w14:textId="738B12A6" w:rsidR="006B1100" w:rsidRPr="009E43C2" w:rsidRDefault="00204661" w:rsidP="00134107">
      <w:pPr>
        <w:pStyle w:val="Proposal"/>
      </w:pPr>
      <w:bookmarkStart w:id="2" w:name="_Toc115278318"/>
      <w:r w:rsidRPr="00204661">
        <w:t xml:space="preserve">RAN2 </w:t>
      </w:r>
      <w:r w:rsidR="00840681">
        <w:t xml:space="preserve">to discuss the signaling </w:t>
      </w:r>
      <w:r w:rsidR="002E0ABD">
        <w:t xml:space="preserve">based on </w:t>
      </w:r>
      <w:r w:rsidRPr="00204661">
        <w:t xml:space="preserve">RAN1/4 </w:t>
      </w:r>
      <w:r w:rsidR="00901868">
        <w:t>LS.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03EEC66" w14:textId="77777777" w:rsidR="008F3713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78FFDFA4" w14:textId="2D09A01A" w:rsidR="008F3713" w:rsidRDefault="007B7B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278317" w:history="1">
        <w:r w:rsidR="008F3713" w:rsidRPr="00B274E3">
          <w:rPr>
            <w:rStyle w:val="Hyperlink"/>
            <w:noProof/>
          </w:rPr>
          <w:t>Proposal 1</w:t>
        </w:r>
        <w:r w:rsidR="008F371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F3713" w:rsidRPr="00B274E3">
          <w:rPr>
            <w:rStyle w:val="Hyperlink"/>
            <w:noProof/>
          </w:rPr>
          <w:t>As a baseline, RAN2 understands that a UE supporting Rel-18 UL Tx switching would also support at least one switching option (Option 1:Switched UL or Option 2:Dual UL) as defined for the Rel-17 capability of UL Tx switching.</w:t>
        </w:r>
      </w:hyperlink>
    </w:p>
    <w:p w14:paraId="0B338793" w14:textId="42921813" w:rsidR="008F3713" w:rsidRDefault="007B7B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5278318" w:history="1">
        <w:r w:rsidR="008F3713" w:rsidRPr="00B274E3">
          <w:rPr>
            <w:rStyle w:val="Hyperlink"/>
            <w:noProof/>
          </w:rPr>
          <w:t>Proposal 2</w:t>
        </w:r>
        <w:r w:rsidR="008F371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8F3713" w:rsidRPr="00B274E3">
          <w:rPr>
            <w:rStyle w:val="Hyperlink"/>
            <w:noProof/>
          </w:rPr>
          <w:t>RAN2 to discuss the signaling based on RAN1/4 LS.</w:t>
        </w:r>
      </w:hyperlink>
    </w:p>
    <w:p w14:paraId="39542A13" w14:textId="2D8AD2D5" w:rsidR="00010670" w:rsidRPr="00CE0424" w:rsidRDefault="006E1C82" w:rsidP="00010670">
      <w:pPr>
        <w:pStyle w:val="Heading1"/>
        <w:ind w:left="432" w:hanging="432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  <w:r w:rsidR="00010670" w:rsidRPr="00CE0424">
        <w:t>References</w:t>
      </w:r>
    </w:p>
    <w:p w14:paraId="38FF9E4B" w14:textId="05B2027B" w:rsidR="00A936B8" w:rsidRPr="003517CB" w:rsidRDefault="00F1339C" w:rsidP="00A32A8E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" w:name="_Ref115252398"/>
      <w:r w:rsidRPr="00F1339C">
        <w:rPr>
          <w:rFonts w:cs="Arial"/>
        </w:rPr>
        <w:t>R2-2207333</w:t>
      </w:r>
      <w:r w:rsidR="00A32A8E">
        <w:rPr>
          <w:rFonts w:cs="Arial"/>
        </w:rPr>
        <w:t xml:space="preserve">, </w:t>
      </w:r>
      <w:r w:rsidR="005F350B" w:rsidRPr="005F350B">
        <w:rPr>
          <w:rFonts w:cs="Arial"/>
        </w:rPr>
        <w:t>Switching option capability for UL 2Tx-2Tx switching</w:t>
      </w:r>
      <w:r w:rsidR="005F350B">
        <w:rPr>
          <w:rFonts w:cs="Arial"/>
        </w:rPr>
        <w:t xml:space="preserve">, </w:t>
      </w:r>
      <w:r w:rsidR="005F350B" w:rsidRPr="005F350B">
        <w:rPr>
          <w:rFonts w:cs="Arial"/>
        </w:rPr>
        <w:t>Qualcomm Incorporated, ZTE Corporation, Nokia, Nokia Shanghai Bell, OPPO, MediaTek Inc., Xiaomi Communications, Ericsson</w:t>
      </w:r>
      <w:r w:rsidR="00847DC5">
        <w:rPr>
          <w:rFonts w:cs="Arial"/>
        </w:rPr>
        <w:t xml:space="preserve"> </w:t>
      </w:r>
      <w:r w:rsidR="005F350B" w:rsidRPr="005F350B">
        <w:rPr>
          <w:rFonts w:cs="Arial"/>
        </w:rPr>
        <w:t>discussion</w:t>
      </w:r>
      <w:r w:rsidR="005F350B">
        <w:rPr>
          <w:rFonts w:cs="Arial"/>
        </w:rPr>
        <w:t>,</w:t>
      </w:r>
      <w:r w:rsidR="005F350B" w:rsidRPr="005F350B">
        <w:rPr>
          <w:rFonts w:cs="Arial"/>
        </w:rPr>
        <w:tab/>
      </w:r>
      <w:r w:rsidR="00FC2DA5">
        <w:rPr>
          <w:rFonts w:cs="Arial"/>
        </w:rPr>
        <w:t>RAN</w:t>
      </w:r>
      <w:r w:rsidR="005F350B">
        <w:rPr>
          <w:rFonts w:cs="Arial"/>
        </w:rPr>
        <w:t>2</w:t>
      </w:r>
      <w:r w:rsidR="00FC2DA5">
        <w:rPr>
          <w:rFonts w:cs="Arial"/>
        </w:rPr>
        <w:t>#</w:t>
      </w:r>
      <w:r w:rsidR="005F350B">
        <w:rPr>
          <w:rFonts w:cs="Arial"/>
        </w:rPr>
        <w:t>119</w:t>
      </w:r>
      <w:r w:rsidR="00FC2DA5">
        <w:rPr>
          <w:rFonts w:cs="Arial"/>
        </w:rPr>
        <w:t xml:space="preserve">-e </w:t>
      </w:r>
      <w:r w:rsidR="00FC2DA5" w:rsidRPr="00FC2DA5">
        <w:rPr>
          <w:rFonts w:cs="Arial"/>
        </w:rPr>
        <w:t xml:space="preserve">Electronic Meeting, </w:t>
      </w:r>
      <w:r w:rsidR="00E760FA">
        <w:rPr>
          <w:rFonts w:cs="Arial"/>
        </w:rPr>
        <w:t>August</w:t>
      </w:r>
      <w:r w:rsidR="00FC2DA5" w:rsidRPr="00FC2DA5">
        <w:rPr>
          <w:rFonts w:cs="Arial"/>
        </w:rPr>
        <w:t xml:space="preserve"> 1</w:t>
      </w:r>
      <w:r w:rsidR="00E760FA">
        <w:rPr>
          <w:rFonts w:cs="Arial"/>
        </w:rPr>
        <w:t>7</w:t>
      </w:r>
      <w:r w:rsidR="00FC2DA5" w:rsidRPr="00FC2DA5">
        <w:rPr>
          <w:rFonts w:cs="Arial"/>
        </w:rPr>
        <w:t>-</w:t>
      </w:r>
      <w:r w:rsidR="00740937">
        <w:rPr>
          <w:rFonts w:cs="Arial"/>
        </w:rPr>
        <w:t>2</w:t>
      </w:r>
      <w:r w:rsidR="00FC2DA5" w:rsidRPr="00FC2DA5">
        <w:rPr>
          <w:rFonts w:cs="Arial"/>
        </w:rPr>
        <w:t>6, 2022</w:t>
      </w:r>
      <w:bookmarkEnd w:id="3"/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8C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9AAD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805"/>
        </w:tabs>
        <w:ind w:left="-38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085"/>
        </w:tabs>
        <w:ind w:left="-3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365"/>
        </w:tabs>
        <w:ind w:left="-2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1645"/>
        </w:tabs>
        <w:ind w:left="-1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925"/>
        </w:tabs>
        <w:ind w:left="-9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05"/>
        </w:tabs>
        <w:ind w:left="-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5"/>
        </w:tabs>
        <w:ind w:left="5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35"/>
        </w:tabs>
        <w:ind w:left="1235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20E5CB5"/>
    <w:multiLevelType w:val="multilevel"/>
    <w:tmpl w:val="932C9AF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14"/>
  </w:num>
  <w:num w:numId="7">
    <w:abstractNumId w:val="5"/>
  </w:num>
  <w:num w:numId="8">
    <w:abstractNumId w:val="6"/>
  </w:num>
  <w:num w:numId="9">
    <w:abstractNumId w:val="4"/>
  </w:num>
  <w:num w:numId="10">
    <w:abstractNumId w:val="18"/>
  </w:num>
  <w:num w:numId="11">
    <w:abstractNumId w:val="9"/>
  </w:num>
  <w:num w:numId="12">
    <w:abstractNumId w:val="15"/>
  </w:num>
  <w:num w:numId="13">
    <w:abstractNumId w:val="16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  <w:num w:numId="18">
    <w:abstractNumId w:val="10"/>
  </w:num>
  <w:num w:numId="19">
    <w:abstractNumId w:val="8"/>
  </w:num>
  <w:num w:numId="2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3FE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AAD"/>
    <w:rsid w:val="00013417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7B7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3B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6ED"/>
    <w:rsid w:val="00075C8D"/>
    <w:rsid w:val="00075C94"/>
    <w:rsid w:val="00075F85"/>
    <w:rsid w:val="00076172"/>
    <w:rsid w:val="000768E5"/>
    <w:rsid w:val="00076BA0"/>
    <w:rsid w:val="00077691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18D1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B29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78C"/>
    <w:rsid w:val="000B2AA4"/>
    <w:rsid w:val="000B3654"/>
    <w:rsid w:val="000B3A8F"/>
    <w:rsid w:val="000B3D86"/>
    <w:rsid w:val="000B3ECD"/>
    <w:rsid w:val="000B47D0"/>
    <w:rsid w:val="000B491A"/>
    <w:rsid w:val="000B4AB9"/>
    <w:rsid w:val="000B5070"/>
    <w:rsid w:val="000B58C3"/>
    <w:rsid w:val="000B61E9"/>
    <w:rsid w:val="000B6561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1C27"/>
    <w:rsid w:val="000D2287"/>
    <w:rsid w:val="000D22BD"/>
    <w:rsid w:val="000D235B"/>
    <w:rsid w:val="000D27A0"/>
    <w:rsid w:val="000D31AB"/>
    <w:rsid w:val="000D3BAA"/>
    <w:rsid w:val="000D3E22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3D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315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BDC"/>
    <w:rsid w:val="00115E03"/>
    <w:rsid w:val="0011611B"/>
    <w:rsid w:val="00116765"/>
    <w:rsid w:val="00117530"/>
    <w:rsid w:val="00120A25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0E8"/>
    <w:rsid w:val="00132581"/>
    <w:rsid w:val="00132971"/>
    <w:rsid w:val="00132AE7"/>
    <w:rsid w:val="00132FD0"/>
    <w:rsid w:val="00134107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3DE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9E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0EE7"/>
    <w:rsid w:val="001625C8"/>
    <w:rsid w:val="0016386F"/>
    <w:rsid w:val="00163A3C"/>
    <w:rsid w:val="0016480C"/>
    <w:rsid w:val="00164BE8"/>
    <w:rsid w:val="001658DE"/>
    <w:rsid w:val="001659C1"/>
    <w:rsid w:val="001663A1"/>
    <w:rsid w:val="00167DFF"/>
    <w:rsid w:val="0017011C"/>
    <w:rsid w:val="00170DEC"/>
    <w:rsid w:val="001720A7"/>
    <w:rsid w:val="00173A8E"/>
    <w:rsid w:val="00174F53"/>
    <w:rsid w:val="0017502C"/>
    <w:rsid w:val="0017568F"/>
    <w:rsid w:val="0017576E"/>
    <w:rsid w:val="00176B1B"/>
    <w:rsid w:val="001773DF"/>
    <w:rsid w:val="0017798E"/>
    <w:rsid w:val="00180B75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6D71"/>
    <w:rsid w:val="00187054"/>
    <w:rsid w:val="00187E68"/>
    <w:rsid w:val="00187FCD"/>
    <w:rsid w:val="00190AC1"/>
    <w:rsid w:val="00192FB7"/>
    <w:rsid w:val="00193413"/>
    <w:rsid w:val="0019341A"/>
    <w:rsid w:val="001937D2"/>
    <w:rsid w:val="001949DB"/>
    <w:rsid w:val="001951B3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AAB"/>
    <w:rsid w:val="001B0D97"/>
    <w:rsid w:val="001B42A6"/>
    <w:rsid w:val="001B4CFD"/>
    <w:rsid w:val="001B4DC3"/>
    <w:rsid w:val="001B5A5D"/>
    <w:rsid w:val="001B655A"/>
    <w:rsid w:val="001B676E"/>
    <w:rsid w:val="001B6A5A"/>
    <w:rsid w:val="001B7155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2702"/>
    <w:rsid w:val="001F3916"/>
    <w:rsid w:val="001F3DAA"/>
    <w:rsid w:val="001F4386"/>
    <w:rsid w:val="001F46D4"/>
    <w:rsid w:val="001F524E"/>
    <w:rsid w:val="001F52CC"/>
    <w:rsid w:val="001F54C5"/>
    <w:rsid w:val="001F5562"/>
    <w:rsid w:val="001F5FEF"/>
    <w:rsid w:val="001F662C"/>
    <w:rsid w:val="001F6B0B"/>
    <w:rsid w:val="001F7074"/>
    <w:rsid w:val="001F742A"/>
    <w:rsid w:val="002001A2"/>
    <w:rsid w:val="00200490"/>
    <w:rsid w:val="002005E6"/>
    <w:rsid w:val="002011E6"/>
    <w:rsid w:val="00201A87"/>
    <w:rsid w:val="00201C3E"/>
    <w:rsid w:val="00201F03"/>
    <w:rsid w:val="00201F3A"/>
    <w:rsid w:val="00202016"/>
    <w:rsid w:val="0020308F"/>
    <w:rsid w:val="00203B52"/>
    <w:rsid w:val="00203F0E"/>
    <w:rsid w:val="00203F96"/>
    <w:rsid w:val="0020421F"/>
    <w:rsid w:val="00204661"/>
    <w:rsid w:val="00205283"/>
    <w:rsid w:val="002069B2"/>
    <w:rsid w:val="00206AB7"/>
    <w:rsid w:val="002071D5"/>
    <w:rsid w:val="00207AEB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5C97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29B4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9B5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775"/>
    <w:rsid w:val="0024588D"/>
    <w:rsid w:val="002458EB"/>
    <w:rsid w:val="002468C3"/>
    <w:rsid w:val="00247579"/>
    <w:rsid w:val="002500C8"/>
    <w:rsid w:val="0025095E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57EC8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FB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29E"/>
    <w:rsid w:val="002A3B15"/>
    <w:rsid w:val="002A3B19"/>
    <w:rsid w:val="002A4E40"/>
    <w:rsid w:val="002A7B16"/>
    <w:rsid w:val="002B0858"/>
    <w:rsid w:val="002B103B"/>
    <w:rsid w:val="002B1561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0CD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984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ABD"/>
    <w:rsid w:val="002E0D25"/>
    <w:rsid w:val="002E140E"/>
    <w:rsid w:val="002E1705"/>
    <w:rsid w:val="002E17F2"/>
    <w:rsid w:val="002E3B42"/>
    <w:rsid w:val="002E3E73"/>
    <w:rsid w:val="002E446E"/>
    <w:rsid w:val="002E49AD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2F4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487"/>
    <w:rsid w:val="00315363"/>
    <w:rsid w:val="003165B7"/>
    <w:rsid w:val="00316870"/>
    <w:rsid w:val="00317C4D"/>
    <w:rsid w:val="003203ED"/>
    <w:rsid w:val="0032087F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19AD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53E5"/>
    <w:rsid w:val="00357380"/>
    <w:rsid w:val="003602D9"/>
    <w:rsid w:val="003604CE"/>
    <w:rsid w:val="00360BC9"/>
    <w:rsid w:val="00361A3F"/>
    <w:rsid w:val="0036217B"/>
    <w:rsid w:val="00363069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3095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5DAD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A28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151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09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7FD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6F5B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4F2"/>
    <w:rsid w:val="003F6AB6"/>
    <w:rsid w:val="003F6BBE"/>
    <w:rsid w:val="003F70CE"/>
    <w:rsid w:val="003F773F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1EA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294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2FC6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3A2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63"/>
    <w:rsid w:val="004468A7"/>
    <w:rsid w:val="00447256"/>
    <w:rsid w:val="00447702"/>
    <w:rsid w:val="00447874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1853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1D5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67A"/>
    <w:rsid w:val="004907EB"/>
    <w:rsid w:val="00490E83"/>
    <w:rsid w:val="00491035"/>
    <w:rsid w:val="00491F9B"/>
    <w:rsid w:val="00492611"/>
    <w:rsid w:val="004926ED"/>
    <w:rsid w:val="00492BC5"/>
    <w:rsid w:val="00492EE6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53A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4F1"/>
    <w:rsid w:val="004C3898"/>
    <w:rsid w:val="004C3F4C"/>
    <w:rsid w:val="004C42C1"/>
    <w:rsid w:val="004C4F8C"/>
    <w:rsid w:val="004C527C"/>
    <w:rsid w:val="004C541C"/>
    <w:rsid w:val="004C5C78"/>
    <w:rsid w:val="004C6D6F"/>
    <w:rsid w:val="004C6DE3"/>
    <w:rsid w:val="004C7AFC"/>
    <w:rsid w:val="004D013D"/>
    <w:rsid w:val="004D0EF2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5AD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341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570B"/>
    <w:rsid w:val="004F7377"/>
    <w:rsid w:val="00500157"/>
    <w:rsid w:val="0050172D"/>
    <w:rsid w:val="00501887"/>
    <w:rsid w:val="00502C2A"/>
    <w:rsid w:val="00503AA7"/>
    <w:rsid w:val="00505DDC"/>
    <w:rsid w:val="00506557"/>
    <w:rsid w:val="0050677A"/>
    <w:rsid w:val="00510241"/>
    <w:rsid w:val="005108D8"/>
    <w:rsid w:val="00510F79"/>
    <w:rsid w:val="005116F9"/>
    <w:rsid w:val="005118AD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C6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A33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072F"/>
    <w:rsid w:val="00551EF8"/>
    <w:rsid w:val="00552239"/>
    <w:rsid w:val="0055483F"/>
    <w:rsid w:val="00554BD8"/>
    <w:rsid w:val="00554E19"/>
    <w:rsid w:val="00555981"/>
    <w:rsid w:val="00556DCB"/>
    <w:rsid w:val="00557163"/>
    <w:rsid w:val="00557C1F"/>
    <w:rsid w:val="00557FB0"/>
    <w:rsid w:val="00560150"/>
    <w:rsid w:val="00560D2E"/>
    <w:rsid w:val="00561208"/>
    <w:rsid w:val="0056121F"/>
    <w:rsid w:val="005635B4"/>
    <w:rsid w:val="00566318"/>
    <w:rsid w:val="0056683B"/>
    <w:rsid w:val="00566D01"/>
    <w:rsid w:val="00567F52"/>
    <w:rsid w:val="00572505"/>
    <w:rsid w:val="0057487C"/>
    <w:rsid w:val="00574B55"/>
    <w:rsid w:val="00574D01"/>
    <w:rsid w:val="00574F05"/>
    <w:rsid w:val="00575E90"/>
    <w:rsid w:val="00576B43"/>
    <w:rsid w:val="00576E80"/>
    <w:rsid w:val="00577733"/>
    <w:rsid w:val="0058233D"/>
    <w:rsid w:val="005825D4"/>
    <w:rsid w:val="00582809"/>
    <w:rsid w:val="00583F3D"/>
    <w:rsid w:val="005841D3"/>
    <w:rsid w:val="00585183"/>
    <w:rsid w:val="005851C4"/>
    <w:rsid w:val="005852F0"/>
    <w:rsid w:val="005859A9"/>
    <w:rsid w:val="00586000"/>
    <w:rsid w:val="0058618D"/>
    <w:rsid w:val="0058798C"/>
    <w:rsid w:val="00587AF9"/>
    <w:rsid w:val="005900FA"/>
    <w:rsid w:val="005901AA"/>
    <w:rsid w:val="00590DCB"/>
    <w:rsid w:val="00590FED"/>
    <w:rsid w:val="005914F1"/>
    <w:rsid w:val="00591832"/>
    <w:rsid w:val="00592A9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6F38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723"/>
    <w:rsid w:val="005A7B52"/>
    <w:rsid w:val="005B0112"/>
    <w:rsid w:val="005B06CF"/>
    <w:rsid w:val="005B122A"/>
    <w:rsid w:val="005B1409"/>
    <w:rsid w:val="005B1C82"/>
    <w:rsid w:val="005B1F7D"/>
    <w:rsid w:val="005B22E9"/>
    <w:rsid w:val="005B2F35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486"/>
    <w:rsid w:val="005C4D97"/>
    <w:rsid w:val="005C4FAC"/>
    <w:rsid w:val="005C5F8B"/>
    <w:rsid w:val="005C62F3"/>
    <w:rsid w:val="005C71C1"/>
    <w:rsid w:val="005C74FB"/>
    <w:rsid w:val="005C76A7"/>
    <w:rsid w:val="005C78C1"/>
    <w:rsid w:val="005C7A3C"/>
    <w:rsid w:val="005D0370"/>
    <w:rsid w:val="005D1602"/>
    <w:rsid w:val="005D1DC3"/>
    <w:rsid w:val="005D1EED"/>
    <w:rsid w:val="005D229D"/>
    <w:rsid w:val="005D24BF"/>
    <w:rsid w:val="005D2CAD"/>
    <w:rsid w:val="005D2FE9"/>
    <w:rsid w:val="005D38F5"/>
    <w:rsid w:val="005D42AF"/>
    <w:rsid w:val="005D4653"/>
    <w:rsid w:val="005D5AD0"/>
    <w:rsid w:val="005D66B5"/>
    <w:rsid w:val="005D6DED"/>
    <w:rsid w:val="005E0778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350B"/>
    <w:rsid w:val="005F4E8E"/>
    <w:rsid w:val="005F5851"/>
    <w:rsid w:val="005F5C67"/>
    <w:rsid w:val="005F5D2F"/>
    <w:rsid w:val="005F618C"/>
    <w:rsid w:val="005F67FE"/>
    <w:rsid w:val="005F70BD"/>
    <w:rsid w:val="00600C67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884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3A"/>
    <w:rsid w:val="006238E0"/>
    <w:rsid w:val="0062402D"/>
    <w:rsid w:val="0062411A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0D77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57E8D"/>
    <w:rsid w:val="0066011D"/>
    <w:rsid w:val="006607C0"/>
    <w:rsid w:val="00660D09"/>
    <w:rsid w:val="006613A6"/>
    <w:rsid w:val="006613B2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5E7F"/>
    <w:rsid w:val="006761B8"/>
    <w:rsid w:val="006766F1"/>
    <w:rsid w:val="0067682B"/>
    <w:rsid w:val="00676F8E"/>
    <w:rsid w:val="006771F9"/>
    <w:rsid w:val="006776D7"/>
    <w:rsid w:val="006804F4"/>
    <w:rsid w:val="00680F2C"/>
    <w:rsid w:val="00681003"/>
    <w:rsid w:val="006817C9"/>
    <w:rsid w:val="00681B1C"/>
    <w:rsid w:val="00681D02"/>
    <w:rsid w:val="006821BF"/>
    <w:rsid w:val="0068234B"/>
    <w:rsid w:val="006827AF"/>
    <w:rsid w:val="006827FD"/>
    <w:rsid w:val="00683ECE"/>
    <w:rsid w:val="006841AA"/>
    <w:rsid w:val="0068449A"/>
    <w:rsid w:val="0068493D"/>
    <w:rsid w:val="00684CE9"/>
    <w:rsid w:val="00684EE6"/>
    <w:rsid w:val="00685FB5"/>
    <w:rsid w:val="00687106"/>
    <w:rsid w:val="006877F1"/>
    <w:rsid w:val="00690255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899"/>
    <w:rsid w:val="006A24B1"/>
    <w:rsid w:val="006A2D54"/>
    <w:rsid w:val="006A431D"/>
    <w:rsid w:val="006A46FB"/>
    <w:rsid w:val="006A5320"/>
    <w:rsid w:val="006A5E28"/>
    <w:rsid w:val="006A5F21"/>
    <w:rsid w:val="006A631A"/>
    <w:rsid w:val="006A65C3"/>
    <w:rsid w:val="006A697B"/>
    <w:rsid w:val="006A6DD0"/>
    <w:rsid w:val="006A774E"/>
    <w:rsid w:val="006A7AFF"/>
    <w:rsid w:val="006A7D3F"/>
    <w:rsid w:val="006B0ADF"/>
    <w:rsid w:val="006B1100"/>
    <w:rsid w:val="006B1595"/>
    <w:rsid w:val="006B1816"/>
    <w:rsid w:val="006B2099"/>
    <w:rsid w:val="006B2769"/>
    <w:rsid w:val="006B3A96"/>
    <w:rsid w:val="006B41E1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5F18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292"/>
    <w:rsid w:val="006F7C42"/>
    <w:rsid w:val="00700BD0"/>
    <w:rsid w:val="00700CF3"/>
    <w:rsid w:val="007015A5"/>
    <w:rsid w:val="00701C65"/>
    <w:rsid w:val="00702353"/>
    <w:rsid w:val="00702E0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207"/>
    <w:rsid w:val="007204B4"/>
    <w:rsid w:val="0072091C"/>
    <w:rsid w:val="00720F79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9E6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4D8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937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2C61"/>
    <w:rsid w:val="00754983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15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451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A43"/>
    <w:rsid w:val="007A0395"/>
    <w:rsid w:val="007A0978"/>
    <w:rsid w:val="007A1CB3"/>
    <w:rsid w:val="007A1E40"/>
    <w:rsid w:val="007A2AD7"/>
    <w:rsid w:val="007A2DD6"/>
    <w:rsid w:val="007A306F"/>
    <w:rsid w:val="007A37F5"/>
    <w:rsid w:val="007A3D63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2E3"/>
    <w:rsid w:val="007B2593"/>
    <w:rsid w:val="007B2948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B7B8E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5628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EF7"/>
    <w:rsid w:val="007D5901"/>
    <w:rsid w:val="007D61F6"/>
    <w:rsid w:val="007D633D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A36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587"/>
    <w:rsid w:val="008029AF"/>
    <w:rsid w:val="00802E41"/>
    <w:rsid w:val="00802E43"/>
    <w:rsid w:val="00803011"/>
    <w:rsid w:val="00803DEF"/>
    <w:rsid w:val="00803FAE"/>
    <w:rsid w:val="0080532C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2CCF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07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681"/>
    <w:rsid w:val="008408EC"/>
    <w:rsid w:val="00840CF9"/>
    <w:rsid w:val="008415F6"/>
    <w:rsid w:val="00841B62"/>
    <w:rsid w:val="00841BFC"/>
    <w:rsid w:val="00841FEF"/>
    <w:rsid w:val="00842CFB"/>
    <w:rsid w:val="00843FD4"/>
    <w:rsid w:val="008444E8"/>
    <w:rsid w:val="00844A26"/>
    <w:rsid w:val="00844E80"/>
    <w:rsid w:val="00846508"/>
    <w:rsid w:val="00846FE7"/>
    <w:rsid w:val="0084728C"/>
    <w:rsid w:val="00847DC5"/>
    <w:rsid w:val="00850360"/>
    <w:rsid w:val="00850C3C"/>
    <w:rsid w:val="00851502"/>
    <w:rsid w:val="00851A76"/>
    <w:rsid w:val="00851BAD"/>
    <w:rsid w:val="00851F5F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67FC8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BDB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98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723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1A96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C7650"/>
    <w:rsid w:val="008D00A5"/>
    <w:rsid w:val="008D0EF1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299"/>
    <w:rsid w:val="008E7D72"/>
    <w:rsid w:val="008E7D76"/>
    <w:rsid w:val="008F0B29"/>
    <w:rsid w:val="008F1C31"/>
    <w:rsid w:val="008F1EAB"/>
    <w:rsid w:val="008F2D67"/>
    <w:rsid w:val="008F33DC"/>
    <w:rsid w:val="008F3713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1868"/>
    <w:rsid w:val="00902247"/>
    <w:rsid w:val="00902350"/>
    <w:rsid w:val="00903239"/>
    <w:rsid w:val="0090336B"/>
    <w:rsid w:val="00903587"/>
    <w:rsid w:val="00905143"/>
    <w:rsid w:val="009053AA"/>
    <w:rsid w:val="009055D4"/>
    <w:rsid w:val="00906939"/>
    <w:rsid w:val="00906ACA"/>
    <w:rsid w:val="00906B1A"/>
    <w:rsid w:val="009072BA"/>
    <w:rsid w:val="009073E7"/>
    <w:rsid w:val="009078B7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794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2446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19"/>
    <w:rsid w:val="00954399"/>
    <w:rsid w:val="009543A7"/>
    <w:rsid w:val="00954701"/>
    <w:rsid w:val="0095481F"/>
    <w:rsid w:val="00954E01"/>
    <w:rsid w:val="009551D4"/>
    <w:rsid w:val="0095576B"/>
    <w:rsid w:val="00955DF7"/>
    <w:rsid w:val="00956515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28E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7C0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3C2"/>
    <w:rsid w:val="009E47A3"/>
    <w:rsid w:val="009E582C"/>
    <w:rsid w:val="009E590A"/>
    <w:rsid w:val="009E5930"/>
    <w:rsid w:val="009E6015"/>
    <w:rsid w:val="009E66E2"/>
    <w:rsid w:val="009E795F"/>
    <w:rsid w:val="009F06BB"/>
    <w:rsid w:val="009F08F3"/>
    <w:rsid w:val="009F09F8"/>
    <w:rsid w:val="009F0F66"/>
    <w:rsid w:val="009F1CA4"/>
    <w:rsid w:val="009F1F61"/>
    <w:rsid w:val="009F24B1"/>
    <w:rsid w:val="009F2EF3"/>
    <w:rsid w:val="009F344F"/>
    <w:rsid w:val="009F38C8"/>
    <w:rsid w:val="009F39EB"/>
    <w:rsid w:val="009F4E63"/>
    <w:rsid w:val="009F5A69"/>
    <w:rsid w:val="009F64E0"/>
    <w:rsid w:val="009F667C"/>
    <w:rsid w:val="009F6694"/>
    <w:rsid w:val="009F7743"/>
    <w:rsid w:val="009F7C0C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923"/>
    <w:rsid w:val="00A04F49"/>
    <w:rsid w:val="00A0622F"/>
    <w:rsid w:val="00A0747E"/>
    <w:rsid w:val="00A07C97"/>
    <w:rsid w:val="00A07D45"/>
    <w:rsid w:val="00A11511"/>
    <w:rsid w:val="00A11D5B"/>
    <w:rsid w:val="00A12E0F"/>
    <w:rsid w:val="00A13E54"/>
    <w:rsid w:val="00A1429B"/>
    <w:rsid w:val="00A14C65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261"/>
    <w:rsid w:val="00A2351A"/>
    <w:rsid w:val="00A23775"/>
    <w:rsid w:val="00A24003"/>
    <w:rsid w:val="00A24197"/>
    <w:rsid w:val="00A24D99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A8E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54"/>
    <w:rsid w:val="00A41578"/>
    <w:rsid w:val="00A4162F"/>
    <w:rsid w:val="00A41BCA"/>
    <w:rsid w:val="00A41E2B"/>
    <w:rsid w:val="00A42349"/>
    <w:rsid w:val="00A428F8"/>
    <w:rsid w:val="00A4325C"/>
    <w:rsid w:val="00A4340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03F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632D"/>
    <w:rsid w:val="00A6720C"/>
    <w:rsid w:val="00A67595"/>
    <w:rsid w:val="00A67C96"/>
    <w:rsid w:val="00A67C9E"/>
    <w:rsid w:val="00A67E6C"/>
    <w:rsid w:val="00A67EC3"/>
    <w:rsid w:val="00A701B1"/>
    <w:rsid w:val="00A71B99"/>
    <w:rsid w:val="00A737F5"/>
    <w:rsid w:val="00A739D0"/>
    <w:rsid w:val="00A74B4C"/>
    <w:rsid w:val="00A74FE2"/>
    <w:rsid w:val="00A760D4"/>
    <w:rsid w:val="00A761D4"/>
    <w:rsid w:val="00A76340"/>
    <w:rsid w:val="00A76A72"/>
    <w:rsid w:val="00A76D37"/>
    <w:rsid w:val="00A77EC4"/>
    <w:rsid w:val="00A805AF"/>
    <w:rsid w:val="00A806C6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C21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1FF"/>
    <w:rsid w:val="00AC5319"/>
    <w:rsid w:val="00AC5A10"/>
    <w:rsid w:val="00AC78F3"/>
    <w:rsid w:val="00AC7AED"/>
    <w:rsid w:val="00AD0AA3"/>
    <w:rsid w:val="00AD0B75"/>
    <w:rsid w:val="00AD198B"/>
    <w:rsid w:val="00AD1BD2"/>
    <w:rsid w:val="00AD2C0D"/>
    <w:rsid w:val="00AD2E46"/>
    <w:rsid w:val="00AD3F94"/>
    <w:rsid w:val="00AD4A5A"/>
    <w:rsid w:val="00AD501C"/>
    <w:rsid w:val="00AD5E16"/>
    <w:rsid w:val="00AD6E56"/>
    <w:rsid w:val="00AD72DD"/>
    <w:rsid w:val="00AE075A"/>
    <w:rsid w:val="00AE142F"/>
    <w:rsid w:val="00AE15DF"/>
    <w:rsid w:val="00AE27AC"/>
    <w:rsid w:val="00AE2A93"/>
    <w:rsid w:val="00AE3FB8"/>
    <w:rsid w:val="00AE40E0"/>
    <w:rsid w:val="00AE4B02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0F89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3CC3"/>
    <w:rsid w:val="00B154BD"/>
    <w:rsid w:val="00B156B7"/>
    <w:rsid w:val="00B157F9"/>
    <w:rsid w:val="00B15AD0"/>
    <w:rsid w:val="00B16157"/>
    <w:rsid w:val="00B20256"/>
    <w:rsid w:val="00B20C76"/>
    <w:rsid w:val="00B20D09"/>
    <w:rsid w:val="00B2164A"/>
    <w:rsid w:val="00B21660"/>
    <w:rsid w:val="00B21DDC"/>
    <w:rsid w:val="00B2218D"/>
    <w:rsid w:val="00B224FD"/>
    <w:rsid w:val="00B2327D"/>
    <w:rsid w:val="00B236A6"/>
    <w:rsid w:val="00B24959"/>
    <w:rsid w:val="00B25221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2D9B"/>
    <w:rsid w:val="00B33017"/>
    <w:rsid w:val="00B34F52"/>
    <w:rsid w:val="00B34FCC"/>
    <w:rsid w:val="00B350A0"/>
    <w:rsid w:val="00B35424"/>
    <w:rsid w:val="00B357AA"/>
    <w:rsid w:val="00B372AA"/>
    <w:rsid w:val="00B37AD9"/>
    <w:rsid w:val="00B37E63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450E"/>
    <w:rsid w:val="00B45657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64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84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1D93"/>
    <w:rsid w:val="00B8202F"/>
    <w:rsid w:val="00B8214C"/>
    <w:rsid w:val="00B823D2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2D0"/>
    <w:rsid w:val="00B97718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5320"/>
    <w:rsid w:val="00BB67D6"/>
    <w:rsid w:val="00BB718A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50"/>
    <w:rsid w:val="00BD07C6"/>
    <w:rsid w:val="00BD07CD"/>
    <w:rsid w:val="00BD0AC4"/>
    <w:rsid w:val="00BD2761"/>
    <w:rsid w:val="00BD299B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564"/>
    <w:rsid w:val="00BE6715"/>
    <w:rsid w:val="00BE6B58"/>
    <w:rsid w:val="00BE6CD8"/>
    <w:rsid w:val="00BE7078"/>
    <w:rsid w:val="00BE7406"/>
    <w:rsid w:val="00BE7603"/>
    <w:rsid w:val="00BE7E05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4F84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CDB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0EF3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17B79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59FD"/>
    <w:rsid w:val="00C264BF"/>
    <w:rsid w:val="00C279B5"/>
    <w:rsid w:val="00C27C45"/>
    <w:rsid w:val="00C317D9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1206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57F71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5EC8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130"/>
    <w:rsid w:val="00C755EF"/>
    <w:rsid w:val="00C758FA"/>
    <w:rsid w:val="00C75D2F"/>
    <w:rsid w:val="00C76659"/>
    <w:rsid w:val="00C767BE"/>
    <w:rsid w:val="00C76E3C"/>
    <w:rsid w:val="00C76FA4"/>
    <w:rsid w:val="00C77516"/>
    <w:rsid w:val="00C801A7"/>
    <w:rsid w:val="00C80809"/>
    <w:rsid w:val="00C81269"/>
    <w:rsid w:val="00C81568"/>
    <w:rsid w:val="00C82E7E"/>
    <w:rsid w:val="00C83FEA"/>
    <w:rsid w:val="00C84787"/>
    <w:rsid w:val="00C84D60"/>
    <w:rsid w:val="00C8503A"/>
    <w:rsid w:val="00C85C19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D2"/>
    <w:rsid w:val="00C97F35"/>
    <w:rsid w:val="00CA010B"/>
    <w:rsid w:val="00CA04C8"/>
    <w:rsid w:val="00CA0863"/>
    <w:rsid w:val="00CA10AB"/>
    <w:rsid w:val="00CA181E"/>
    <w:rsid w:val="00CA1ED8"/>
    <w:rsid w:val="00CA2661"/>
    <w:rsid w:val="00CA3600"/>
    <w:rsid w:val="00CA4B18"/>
    <w:rsid w:val="00CA51BE"/>
    <w:rsid w:val="00CA6480"/>
    <w:rsid w:val="00CA6621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01C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BA9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31F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3B23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0ABF"/>
    <w:rsid w:val="00D10C75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6BAB"/>
    <w:rsid w:val="00D176C5"/>
    <w:rsid w:val="00D179DD"/>
    <w:rsid w:val="00D22AB5"/>
    <w:rsid w:val="00D232E2"/>
    <w:rsid w:val="00D239A7"/>
    <w:rsid w:val="00D23BDB"/>
    <w:rsid w:val="00D23F47"/>
    <w:rsid w:val="00D250FB"/>
    <w:rsid w:val="00D25E03"/>
    <w:rsid w:val="00D263D5"/>
    <w:rsid w:val="00D27AB8"/>
    <w:rsid w:val="00D309F9"/>
    <w:rsid w:val="00D31E34"/>
    <w:rsid w:val="00D32373"/>
    <w:rsid w:val="00D32494"/>
    <w:rsid w:val="00D33CBB"/>
    <w:rsid w:val="00D35302"/>
    <w:rsid w:val="00D3553E"/>
    <w:rsid w:val="00D359F5"/>
    <w:rsid w:val="00D35CF3"/>
    <w:rsid w:val="00D36720"/>
    <w:rsid w:val="00D3695E"/>
    <w:rsid w:val="00D36E40"/>
    <w:rsid w:val="00D36E71"/>
    <w:rsid w:val="00D36F71"/>
    <w:rsid w:val="00D37D87"/>
    <w:rsid w:val="00D4030C"/>
    <w:rsid w:val="00D40B33"/>
    <w:rsid w:val="00D4141D"/>
    <w:rsid w:val="00D42379"/>
    <w:rsid w:val="00D42B49"/>
    <w:rsid w:val="00D42BA1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BE5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568"/>
    <w:rsid w:val="00D7171F"/>
    <w:rsid w:val="00D71D43"/>
    <w:rsid w:val="00D720FE"/>
    <w:rsid w:val="00D72811"/>
    <w:rsid w:val="00D72E6A"/>
    <w:rsid w:val="00D74978"/>
    <w:rsid w:val="00D7613D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94D"/>
    <w:rsid w:val="00D83BE1"/>
    <w:rsid w:val="00D84228"/>
    <w:rsid w:val="00D853A5"/>
    <w:rsid w:val="00D85792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424"/>
    <w:rsid w:val="00D94D7E"/>
    <w:rsid w:val="00D94FF7"/>
    <w:rsid w:val="00D9771A"/>
    <w:rsid w:val="00D9790E"/>
    <w:rsid w:val="00D97993"/>
    <w:rsid w:val="00DA0904"/>
    <w:rsid w:val="00DA0BED"/>
    <w:rsid w:val="00DA1656"/>
    <w:rsid w:val="00DA1876"/>
    <w:rsid w:val="00DA18C3"/>
    <w:rsid w:val="00DA1B68"/>
    <w:rsid w:val="00DA2A23"/>
    <w:rsid w:val="00DA305E"/>
    <w:rsid w:val="00DA3B83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4D2F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1949"/>
    <w:rsid w:val="00DF3245"/>
    <w:rsid w:val="00DF37A0"/>
    <w:rsid w:val="00DF47A5"/>
    <w:rsid w:val="00DF5DAD"/>
    <w:rsid w:val="00DF73CF"/>
    <w:rsid w:val="00E01D5E"/>
    <w:rsid w:val="00E0203B"/>
    <w:rsid w:val="00E02929"/>
    <w:rsid w:val="00E0355A"/>
    <w:rsid w:val="00E04332"/>
    <w:rsid w:val="00E04F6C"/>
    <w:rsid w:val="00E06BFB"/>
    <w:rsid w:val="00E06F7F"/>
    <w:rsid w:val="00E078F5"/>
    <w:rsid w:val="00E07D7D"/>
    <w:rsid w:val="00E110E7"/>
    <w:rsid w:val="00E112E0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46C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6B8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2DCC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21A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60FA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4B50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74B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DB5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A7AF2"/>
    <w:rsid w:val="00EB04A7"/>
    <w:rsid w:val="00EB067E"/>
    <w:rsid w:val="00EB077B"/>
    <w:rsid w:val="00EB0841"/>
    <w:rsid w:val="00EB244C"/>
    <w:rsid w:val="00EB26CB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A73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16C"/>
    <w:rsid w:val="00EE04C0"/>
    <w:rsid w:val="00EE0E1B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7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1EA4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197"/>
    <w:rsid w:val="00F11840"/>
    <w:rsid w:val="00F12834"/>
    <w:rsid w:val="00F1336D"/>
    <w:rsid w:val="00F1339C"/>
    <w:rsid w:val="00F15FA5"/>
    <w:rsid w:val="00F165E7"/>
    <w:rsid w:val="00F16ED2"/>
    <w:rsid w:val="00F17804"/>
    <w:rsid w:val="00F203E0"/>
    <w:rsid w:val="00F20916"/>
    <w:rsid w:val="00F209B7"/>
    <w:rsid w:val="00F20BFB"/>
    <w:rsid w:val="00F21F3F"/>
    <w:rsid w:val="00F22C18"/>
    <w:rsid w:val="00F234C3"/>
    <w:rsid w:val="00F234E1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235B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9BD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1E00"/>
    <w:rsid w:val="00F622B3"/>
    <w:rsid w:val="00F62CD5"/>
    <w:rsid w:val="00F6302A"/>
    <w:rsid w:val="00F6328F"/>
    <w:rsid w:val="00F63950"/>
    <w:rsid w:val="00F64AA4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2D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15E"/>
    <w:rsid w:val="00F9546A"/>
    <w:rsid w:val="00F96985"/>
    <w:rsid w:val="00F9733B"/>
    <w:rsid w:val="00F97838"/>
    <w:rsid w:val="00FA0ED7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639"/>
    <w:rsid w:val="00FB6A6A"/>
    <w:rsid w:val="00FB6DEC"/>
    <w:rsid w:val="00FB7C1F"/>
    <w:rsid w:val="00FB7CC6"/>
    <w:rsid w:val="00FC0863"/>
    <w:rsid w:val="00FC2619"/>
    <w:rsid w:val="00FC2DA5"/>
    <w:rsid w:val="00FC329E"/>
    <w:rsid w:val="00FC40E6"/>
    <w:rsid w:val="00FC4286"/>
    <w:rsid w:val="00FC4779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4D"/>
    <w:rsid w:val="00FD7BA8"/>
    <w:rsid w:val="00FE0655"/>
    <w:rsid w:val="00FE0998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291"/>
    <w:rsid w:val="00FF13B1"/>
    <w:rsid w:val="00FF2CBA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12DBE-A58A-43E6-B72A-5A98BD677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8803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7341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1705</cp:revision>
  <cp:lastPrinted>2008-02-01T05:09:00Z</cp:lastPrinted>
  <dcterms:created xsi:type="dcterms:W3CDTF">2020-10-16T08:01:00Z</dcterms:created>
  <dcterms:modified xsi:type="dcterms:W3CDTF">2022-09-30T07:20:00Z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